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2157" w:rsidRDefault="00CC6ACC">
      <w:pPr>
        <w:pStyle w:val="a4"/>
        <w:spacing w:after="0" w:line="240" w:lineRule="auto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48"/>
          <w:szCs w:val="48"/>
        </w:rPr>
        <w:t>2025</w:t>
      </w:r>
      <w:r>
        <w:rPr>
          <w:rFonts w:ascii="微軟正黑體" w:eastAsia="微軟正黑體" w:hAnsi="微軟正黑體" w:cs="微軟正黑體"/>
          <w:sz w:val="48"/>
          <w:szCs w:val="48"/>
        </w:rPr>
        <w:t>年臺灣老人學學會年會暨學術研討會</w:t>
      </w:r>
      <w:r>
        <w:rPr>
          <w:rFonts w:ascii="微軟正黑體" w:eastAsia="微軟正黑體" w:hAnsi="微軟正黑體" w:cs="微軟正黑體"/>
        </w:rPr>
        <w:t xml:space="preserve"> </w:t>
      </w:r>
    </w:p>
    <w:p w14:paraId="00000002" w14:textId="77777777" w:rsidR="00B22157" w:rsidRDefault="00CC6ACC">
      <w:pPr>
        <w:pStyle w:val="a4"/>
        <w:spacing w:line="240" w:lineRule="auto"/>
        <w:rPr>
          <w:rFonts w:ascii="微軟正黑體" w:eastAsia="微軟正黑體" w:hAnsi="微軟正黑體" w:cs="微軟正黑體"/>
          <w:b/>
        </w:rPr>
      </w:pPr>
      <w:bookmarkStart w:id="1" w:name="_heading=h.30j0zll" w:colFirst="0" w:colLast="0"/>
      <w:bookmarkEnd w:id="1"/>
      <w:r>
        <w:rPr>
          <w:rFonts w:ascii="微軟正黑體" w:eastAsia="微軟正黑體" w:hAnsi="微軟正黑體" w:cs="微軟正黑體"/>
          <w:b/>
        </w:rPr>
        <w:t>「超高齡社會元年：挑戰與機會」</w:t>
      </w:r>
    </w:p>
    <w:p w14:paraId="00000003" w14:textId="77777777" w:rsidR="00B22157" w:rsidRDefault="00CC6ACC">
      <w:pPr>
        <w:spacing w:line="240" w:lineRule="auto"/>
        <w:jc w:val="center"/>
        <w:rPr>
          <w:rFonts w:ascii="微軟正黑體" w:eastAsia="微軟正黑體" w:hAnsi="微軟正黑體" w:cs="微軟正黑體"/>
        </w:rPr>
      </w:pPr>
      <w:bookmarkStart w:id="2" w:name="_heading=h.1fob9te" w:colFirst="0" w:colLast="0"/>
      <w:bookmarkEnd w:id="2"/>
      <w:r>
        <w:pict w14:anchorId="437C989B">
          <v:rect id="_x0000_i1025" style="width:0;height:1.5pt" o:hralign="center" o:hrstd="t" o:hr="t" fillcolor="#a0a0a0" stroked="f"/>
        </w:pict>
      </w:r>
    </w:p>
    <w:p w14:paraId="00000004" w14:textId="77777777" w:rsidR="00B22157" w:rsidRDefault="00CC6ACC">
      <w:pPr>
        <w:spacing w:line="240" w:lineRule="auto"/>
        <w:jc w:val="center"/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>徵</w:t>
      </w: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 xml:space="preserve">  </w:t>
      </w: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>稿</w:t>
      </w: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 xml:space="preserve">  </w:t>
      </w: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>啟</w:t>
      </w: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 xml:space="preserve">  </w:t>
      </w: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>事</w:t>
      </w:r>
    </w:p>
    <w:p w14:paraId="00000005" w14:textId="77777777" w:rsidR="00B22157" w:rsidRDefault="00CC6ACC">
      <w:pPr>
        <w:spacing w:line="240" w:lineRule="auto"/>
        <w:jc w:val="center"/>
        <w:rPr>
          <w:rFonts w:ascii="微軟正黑體" w:eastAsia="微軟正黑體" w:hAnsi="微軟正黑體" w:cs="微軟正黑體"/>
          <w:color w:val="FF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FF0000"/>
          <w:sz w:val="44"/>
          <w:szCs w:val="44"/>
        </w:rPr>
        <w:t>「研討會論文徵稿」與「碩博士論文獎甄選」</w:t>
      </w:r>
    </w:p>
    <w:p w14:paraId="00000006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3" w:name="_heading=h.3znysh7" w:colFirst="0" w:colLast="0"/>
      <w:bookmarkEnd w:id="3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一、主辦單位：社團法人臺灣老人</w:t>
      </w:r>
      <w:proofErr w:type="gramStart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學</w:t>
      </w:r>
      <w:proofErr w:type="gramEnd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學會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 xml:space="preserve"> </w:t>
      </w:r>
    </w:p>
    <w:p w14:paraId="00000007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4" w:name="_heading=h.2et92p0" w:colFirst="0" w:colLast="0"/>
      <w:bookmarkEnd w:id="4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二、研討會時間：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2025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年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5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月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23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日（週五）</w:t>
      </w:r>
    </w:p>
    <w:p w14:paraId="00000008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5" w:name="_heading=h.tyjcwt" w:colFirst="0" w:colLast="0"/>
      <w:bookmarkEnd w:id="5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三、研討會地點：國立臺灣大學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 xml:space="preserve">  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梁國樹國際會議廳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br/>
        <w:t xml:space="preserve">       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（台北市大安區羅斯福路四段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1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號）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 xml:space="preserve"> </w:t>
      </w:r>
    </w:p>
    <w:p w14:paraId="00000009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6" w:name="_heading=h.3dy6vkm" w:colFirst="0" w:colLast="0"/>
      <w:bookmarkEnd w:id="6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四、緣起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 xml:space="preserve"> </w:t>
      </w:r>
    </w:p>
    <w:p w14:paraId="0000000A" w14:textId="77777777" w:rsidR="00B22157" w:rsidRDefault="00CC6ACC">
      <w:pPr>
        <w:spacing w:line="252" w:lineRule="auto"/>
        <w:ind w:firstLine="72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2025</w:t>
      </w:r>
      <w:r>
        <w:rPr>
          <w:rFonts w:ascii="微軟正黑體" w:eastAsia="微軟正黑體" w:hAnsi="微軟正黑體" w:cs="微軟正黑體"/>
          <w:sz w:val="28"/>
          <w:szCs w:val="28"/>
        </w:rPr>
        <w:t>將是臺灣超高齡社會元年，家庭結構、代間關係、勞動市場與經濟產業等各層面，必然會有重大改變；也對醫療、照護、交通、住宅等社會安全支持體系，帶來新的挑戰。但超高齡社會同時也帶來機會，高齡人口增加，不僅讓社會增加許多年長的人力資源，也提升了照顧服務、金融理財、健康產業以及智慧科技等各方面的發展需求。面對這些挑戰與機會，我們需要有新的思維與做法，以設計思考、永續發展的觀點為基礎，重新構建、設計社會各個面向的制度，以因應超高齡社會的到來。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0B" w14:textId="77777777" w:rsidR="00B22157" w:rsidRDefault="00CC6ACC">
      <w:pPr>
        <w:spacing w:line="252" w:lineRule="auto"/>
        <w:ind w:firstLine="72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臺灣老人學學會創立至今，每年均辦理全國性學術會議，邀集各界學術夥伴齊聚一堂，研討老人學相關議題，持續精進國內老人學研究社群的交流與發展。今年我們再度邀請各界學術先進與新秀，帶著您的研究成果，來</w:t>
      </w: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參與這個老人學學界的年度學術盛會，共同發表學術成果、分享研究經驗、評估政策成效、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思辯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前瞻課題，為我國的高齡研究與政策發展，累積更多的基礎與能量。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0C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7" w:name="_heading=h.1t3h5sf" w:colFirst="0" w:colLast="0"/>
      <w:bookmarkEnd w:id="7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五、研討會論文徵稿主題</w:t>
      </w:r>
    </w:p>
    <w:p w14:paraId="0000000D" w14:textId="77777777" w:rsidR="00B22157" w:rsidRDefault="00CC6ACC">
      <w:pPr>
        <w:spacing w:line="252" w:lineRule="auto"/>
        <w:ind w:firstLine="72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本會鼓勵投稿者就高齡社會的社會重構、政策願景、服務設計與創新議題，均可提出相關論述發表，主題分類如下：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0E" w14:textId="77777777" w:rsidR="00B22157" w:rsidRDefault="00CC6ACC">
      <w:pPr>
        <w:numPr>
          <w:ilvl w:val="0"/>
          <w:numId w:val="1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老化社會的衝擊與契機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 xml:space="preserve"> (Opportun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ities and Challenges of an Aging Society)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老人歧視、老年自主、老人人權發展、代間關係與世代正義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0F" w14:textId="77777777" w:rsidR="00B22157" w:rsidRDefault="00CC6ACC">
      <w:pPr>
        <w:numPr>
          <w:ilvl w:val="0"/>
          <w:numId w:val="1"/>
        </w:numPr>
        <w:spacing w:line="252" w:lineRule="auto"/>
        <w:ind w:right="-751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生理老化的社會影響與生理健康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>(The Social Consequence of Physical Aging and Physical Health)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sz w:val="28"/>
          <w:szCs w:val="28"/>
        </w:rPr>
        <w:br/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生理功能的退化與社會影響、慢性疾病管理與健康促進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10" w14:textId="77777777" w:rsidR="00B22157" w:rsidRDefault="00CC6ACC">
      <w:pPr>
        <w:numPr>
          <w:ilvl w:val="0"/>
          <w:numId w:val="1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老化的認知、個性與心理健康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 xml:space="preserve">(Cognitive Changes, Personality and Mental Health)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老年人的個性與心</w:t>
      </w:r>
      <w:r>
        <w:rPr>
          <w:rFonts w:ascii="微軟正黑體" w:eastAsia="微軟正黑體" w:hAnsi="微軟正黑體" w:cs="微軟正黑體"/>
          <w:sz w:val="28"/>
          <w:szCs w:val="28"/>
        </w:rPr>
        <w:t>理健康、老年人面臨的情緒與壓力（死亡、喪偶與鰥寡）、老化心理調適與行為變化、老化的自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癒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力與彈性</w:t>
      </w:r>
    </w:p>
    <w:p w14:paraId="00000011" w14:textId="77777777" w:rsidR="00B22157" w:rsidRDefault="00CC6ACC">
      <w:pPr>
        <w:numPr>
          <w:ilvl w:val="0"/>
          <w:numId w:val="1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老化的家庭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/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社會支持與社會健康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 xml:space="preserve">(Family/Social Supports and Social Health)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老人社會工作與輔導、家庭代間關係、照顧者的機會與挑戰、家庭照顧資源永續、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高齡友善社區、敬老與社會融入、社會互動與參與、跨文化差異、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高齡者交通協助、無障礙與高齡友善居住空間與環境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12" w14:textId="77777777" w:rsidR="00B22157" w:rsidRDefault="00CC6ACC">
      <w:pPr>
        <w:numPr>
          <w:ilvl w:val="0"/>
          <w:numId w:val="1"/>
        </w:numPr>
        <w:spacing w:line="252" w:lineRule="auto"/>
        <w:ind w:right="-46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價值探索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-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老化的生產力、角色與活動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 xml:space="preserve">(Valuing Elderly People-Productive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Aging, Roles and Activities)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sz w:val="28"/>
          <w:szCs w:val="28"/>
        </w:rPr>
        <w:br/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老年人就業與機會、終身學習、志願服務、社會價值與貢獻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13" w14:textId="77777777" w:rsidR="00B22157" w:rsidRDefault="00CC6ACC">
      <w:pPr>
        <w:numPr>
          <w:ilvl w:val="0"/>
          <w:numId w:val="1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老化的健康與社會政策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>(Health and Social Policy to Address Aging Issues)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老人社會安全與收入、長期照顧與整合照顧模式、老人照顧資源發展與永續、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多元服務與創新方案、福利服務方案的財源籌措、老人福祉。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14:paraId="00000014" w14:textId="77777777" w:rsidR="00B22157" w:rsidRDefault="00CC6ACC">
      <w:pPr>
        <w:numPr>
          <w:ilvl w:val="0"/>
          <w:numId w:val="1"/>
        </w:numPr>
        <w:spacing w:line="252" w:lineRule="auto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其他老年學相關主題之研究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br/>
        <w:t xml:space="preserve">(Other Topics in Social Gerontology) </w:t>
      </w:r>
    </w:p>
    <w:p w14:paraId="00000015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8" w:name="_heading=h.4d34og8" w:colFirst="0" w:colLast="0"/>
      <w:bookmarkEnd w:id="8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六、研討會論文徵稿說明</w:t>
      </w:r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 xml:space="preserve"> </w:t>
      </w:r>
    </w:p>
    <w:p w14:paraId="00000016" w14:textId="77777777" w:rsidR="00B22157" w:rsidRDefault="00CC6ACC">
      <w:pPr>
        <w:numPr>
          <w:ilvl w:val="0"/>
          <w:numId w:val="3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論文摘要（</w:t>
      </w:r>
      <w:r>
        <w:rPr>
          <w:rFonts w:ascii="微軟正黑體" w:eastAsia="微軟正黑體" w:hAnsi="微軟正黑體" w:cs="微軟正黑體"/>
          <w:sz w:val="28"/>
          <w:szCs w:val="28"/>
        </w:rPr>
        <w:t>PDF</w:t>
      </w:r>
      <w:r>
        <w:rPr>
          <w:rFonts w:ascii="微軟正黑體" w:eastAsia="微軟正黑體" w:hAnsi="微軟正黑體" w:cs="微軟正黑體"/>
          <w:sz w:val="28"/>
          <w:szCs w:val="28"/>
        </w:rPr>
        <w:t>檔）請寄：</w:t>
      </w:r>
      <w:hyperlink r:id="rId6">
        <w:r>
          <w:rPr>
            <w:rFonts w:ascii="微軟正黑體" w:eastAsia="微軟正黑體" w:hAnsi="微軟正黑體" w:cs="微軟正黑體"/>
            <w:color w:val="1155CC"/>
            <w:sz w:val="28"/>
            <w:szCs w:val="28"/>
            <w:u w:val="single"/>
          </w:rPr>
          <w:t>taiwanage2022@gmail.com</w:t>
        </w:r>
      </w:hyperlink>
      <w:r>
        <w:rPr>
          <w:rFonts w:ascii="微軟正黑體" w:eastAsia="微軟正黑體" w:hAnsi="微軟正黑體" w:cs="微軟正黑體"/>
          <w:sz w:val="28"/>
          <w:szCs w:val="28"/>
        </w:rPr>
        <w:t>。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投稿郵件標題請註明：「投稿</w:t>
      </w:r>
      <w:r>
        <w:rPr>
          <w:rFonts w:ascii="微軟正黑體" w:eastAsia="微軟正黑體" w:hAnsi="微軟正黑體" w:cs="微軟正黑體"/>
          <w:sz w:val="28"/>
          <w:szCs w:val="28"/>
        </w:rPr>
        <w:t>2025</w:t>
      </w:r>
      <w:r>
        <w:rPr>
          <w:rFonts w:ascii="微軟正黑體" w:eastAsia="微軟正黑體" w:hAnsi="微軟正黑體" w:cs="微軟正黑體"/>
          <w:sz w:val="28"/>
          <w:szCs w:val="28"/>
        </w:rPr>
        <w:t>研討會</w:t>
      </w:r>
      <w:r>
        <w:rPr>
          <w:rFonts w:ascii="微軟正黑體" w:eastAsia="微軟正黑體" w:hAnsi="微軟正黑體" w:cs="微軟正黑體"/>
          <w:sz w:val="28"/>
          <w:szCs w:val="28"/>
        </w:rPr>
        <w:t>_</w:t>
      </w:r>
      <w:r>
        <w:rPr>
          <w:rFonts w:ascii="微軟正黑體" w:eastAsia="微軟正黑體" w:hAnsi="微軟正黑體" w:cs="微軟正黑體"/>
          <w:sz w:val="28"/>
          <w:szCs w:val="28"/>
        </w:rPr>
        <w:t>徵稿主題編號</w:t>
      </w:r>
      <w:r>
        <w:rPr>
          <w:rFonts w:ascii="微軟正黑體" w:eastAsia="微軟正黑體" w:hAnsi="微軟正黑體" w:cs="微軟正黑體"/>
          <w:sz w:val="28"/>
          <w:szCs w:val="28"/>
        </w:rPr>
        <w:t>_</w:t>
      </w:r>
      <w:r>
        <w:rPr>
          <w:rFonts w:ascii="微軟正黑體" w:eastAsia="微軟正黑體" w:hAnsi="微軟正黑體" w:cs="微軟正黑體"/>
          <w:sz w:val="28"/>
          <w:szCs w:val="28"/>
        </w:rPr>
        <w:t>作者」。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檔案名稱請註明：「徵稿主題編號</w:t>
      </w:r>
      <w:r>
        <w:rPr>
          <w:rFonts w:ascii="微軟正黑體" w:eastAsia="微軟正黑體" w:hAnsi="微軟正黑體" w:cs="微軟正黑體"/>
          <w:sz w:val="28"/>
          <w:szCs w:val="28"/>
        </w:rPr>
        <w:t>_</w:t>
      </w:r>
      <w:r>
        <w:rPr>
          <w:rFonts w:ascii="微軟正黑體" w:eastAsia="微軟正黑體" w:hAnsi="微軟正黑體" w:cs="微軟正黑體"/>
          <w:sz w:val="28"/>
          <w:szCs w:val="28"/>
        </w:rPr>
        <w:t>投稿論文題目</w:t>
      </w:r>
      <w:r>
        <w:rPr>
          <w:rFonts w:ascii="微軟正黑體" w:eastAsia="微軟正黑體" w:hAnsi="微軟正黑體" w:cs="微軟正黑體"/>
          <w:sz w:val="28"/>
          <w:szCs w:val="28"/>
        </w:rPr>
        <w:t>_</w:t>
      </w:r>
      <w:r>
        <w:rPr>
          <w:rFonts w:ascii="微軟正黑體" w:eastAsia="微軟正黑體" w:hAnsi="微軟正黑體" w:cs="微軟正黑體"/>
          <w:sz w:val="28"/>
          <w:szCs w:val="28"/>
        </w:rPr>
        <w:t>作者」。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徵稿主題編號請參考上述之主題分類，如徵稿主題編號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3 </w:t>
      </w:r>
      <w:r>
        <w:rPr>
          <w:rFonts w:ascii="微軟正黑體" w:eastAsia="微軟正黑體" w:hAnsi="微軟正黑體" w:cs="微軟正黑體"/>
          <w:sz w:val="28"/>
          <w:szCs w:val="28"/>
        </w:rPr>
        <w:t>即為「老化的認知、個性與心理健康」，餘類推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。</w:t>
      </w:r>
      <w:r>
        <w:rPr>
          <w:rFonts w:ascii="微軟正黑體" w:eastAsia="微軟正黑體" w:hAnsi="微軟正黑體" w:cs="微軟正黑體"/>
          <w:sz w:val="28"/>
          <w:szCs w:val="28"/>
        </w:rPr>
        <w:t>）</w:t>
      </w:r>
    </w:p>
    <w:p w14:paraId="00000017" w14:textId="77777777" w:rsidR="00B22157" w:rsidRDefault="00CC6ACC">
      <w:pPr>
        <w:numPr>
          <w:ilvl w:val="0"/>
          <w:numId w:val="3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摘要字數以</w:t>
      </w:r>
      <w:r>
        <w:rPr>
          <w:rFonts w:ascii="微軟正黑體" w:eastAsia="微軟正黑體" w:hAnsi="微軟正黑體" w:cs="微軟正黑體"/>
          <w:sz w:val="28"/>
          <w:szCs w:val="28"/>
        </w:rPr>
        <w:t>1,000</w:t>
      </w:r>
      <w:r>
        <w:rPr>
          <w:rFonts w:ascii="微軟正黑體" w:eastAsia="微軟正黑體" w:hAnsi="微軟正黑體" w:cs="微軟正黑體"/>
          <w:sz w:val="28"/>
          <w:szCs w:val="28"/>
        </w:rPr>
        <w:t>字為限，須含題目、作者姓名與服務單位、研究目的、研究方法及研究發</w:t>
      </w:r>
      <w:r>
        <w:rPr>
          <w:rFonts w:ascii="微軟正黑體" w:eastAsia="微軟正黑體" w:hAnsi="微軟正黑體" w:cs="微軟正黑體"/>
          <w:sz w:val="28"/>
          <w:szCs w:val="28"/>
        </w:rPr>
        <w:t>現等。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並請附通訊作者之電子信箱、電話等聯繫資訊。</w:t>
      </w:r>
    </w:p>
    <w:p w14:paraId="00000018" w14:textId="77777777" w:rsidR="00B22157" w:rsidRDefault="00CC6ACC">
      <w:pPr>
        <w:numPr>
          <w:ilvl w:val="0"/>
          <w:numId w:val="3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摘要截稿日期：</w:t>
      </w:r>
      <w:r>
        <w:rPr>
          <w:rFonts w:ascii="微軟正黑體" w:eastAsia="微軟正黑體" w:hAnsi="微軟正黑體" w:cs="微軟正黑體"/>
          <w:sz w:val="28"/>
          <w:szCs w:val="28"/>
        </w:rPr>
        <w:t>2025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20</w:t>
      </w:r>
      <w:r>
        <w:rPr>
          <w:rFonts w:ascii="微軟正黑體" w:eastAsia="微軟正黑體" w:hAnsi="微軟正黑體" w:cs="微軟正黑體"/>
          <w:sz w:val="28"/>
          <w:szCs w:val="28"/>
        </w:rPr>
        <w:t>日。</w:t>
      </w:r>
    </w:p>
    <w:p w14:paraId="00000019" w14:textId="77777777" w:rsidR="00B22157" w:rsidRDefault="00CC6ACC">
      <w:pPr>
        <w:numPr>
          <w:ilvl w:val="0"/>
          <w:numId w:val="3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摘要審查：論文摘要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採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匿名方式審查。</w:t>
      </w:r>
    </w:p>
    <w:p w14:paraId="0000001A" w14:textId="77777777" w:rsidR="00B22157" w:rsidRDefault="00CC6ACC">
      <w:pPr>
        <w:numPr>
          <w:ilvl w:val="0"/>
          <w:numId w:val="3"/>
        </w:numPr>
        <w:spacing w:line="252" w:lineRule="auto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審查結果通知：</w:t>
      </w:r>
      <w:r>
        <w:rPr>
          <w:rFonts w:ascii="微軟正黑體" w:eastAsia="微軟正黑體" w:hAnsi="微軟正黑體" w:cs="微軟正黑體"/>
          <w:sz w:val="28"/>
          <w:szCs w:val="28"/>
        </w:rPr>
        <w:t>2025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4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10</w:t>
      </w:r>
      <w:r>
        <w:rPr>
          <w:rFonts w:ascii="微軟正黑體" w:eastAsia="微軟正黑體" w:hAnsi="微軟正黑體" w:cs="微軟正黑體"/>
          <w:sz w:val="28"/>
          <w:szCs w:val="28"/>
        </w:rPr>
        <w:t>日。</w:t>
      </w:r>
    </w:p>
    <w:p w14:paraId="0000001B" w14:textId="77777777" w:rsidR="00B22157" w:rsidRDefault="00CC6ACC">
      <w:pPr>
        <w:pStyle w:val="1"/>
        <w:spacing w:before="400" w:after="120" w:line="240" w:lineRule="auto"/>
        <w:rPr>
          <w:rFonts w:ascii="微軟正黑體" w:eastAsia="微軟正黑體" w:hAnsi="微軟正黑體" w:cs="微軟正黑體"/>
          <w:color w:val="FF0000"/>
          <w:sz w:val="40"/>
          <w:szCs w:val="40"/>
        </w:rPr>
      </w:pPr>
      <w:bookmarkStart w:id="9" w:name="_heading=h.2s8eyo1" w:colFirst="0" w:colLast="0"/>
      <w:bookmarkEnd w:id="9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七、老人學領域</w:t>
      </w:r>
      <w:proofErr w:type="gramStart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碩</w:t>
      </w:r>
      <w:proofErr w:type="gramEnd"/>
      <w:r>
        <w:rPr>
          <w:rFonts w:ascii="微軟正黑體" w:eastAsia="微軟正黑體" w:hAnsi="微軟正黑體" w:cs="微軟正黑體"/>
          <w:color w:val="FF0000"/>
          <w:sz w:val="40"/>
          <w:szCs w:val="40"/>
        </w:rPr>
        <w:t>博士論文獎甄選說明</w:t>
      </w:r>
    </w:p>
    <w:p w14:paraId="0000001C" w14:textId="77777777" w:rsidR="00B22157" w:rsidRDefault="00CC6ACC">
      <w:pPr>
        <w:rPr>
          <w:rFonts w:ascii="微軟正黑體" w:eastAsia="微軟正黑體" w:hAnsi="微軟正黑體" w:cs="微軟正黑體"/>
        </w:rPr>
      </w:pPr>
      <w:r>
        <w:tab/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甄選辦法請參閱附檔「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 xml:space="preserve">2025 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年老人學領域</w:t>
      </w:r>
      <w:proofErr w:type="gramStart"/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碩</w:t>
      </w:r>
      <w:proofErr w:type="gramEnd"/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博士論文獎實施計畫」</w:t>
      </w:r>
    </w:p>
    <w:p w14:paraId="0000001D" w14:textId="77777777" w:rsidR="00B22157" w:rsidRDefault="00CC6ACC">
      <w:pPr>
        <w:numPr>
          <w:ilvl w:val="0"/>
          <w:numId w:val="2"/>
        </w:numPr>
        <w:spacing w:line="252" w:lineRule="auto"/>
        <w:ind w:hanging="357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需備齊以下資料：</w:t>
      </w:r>
    </w:p>
    <w:p w14:paraId="0000001E" w14:textId="77777777" w:rsidR="00B22157" w:rsidRDefault="00CC6ACC">
      <w:pPr>
        <w:numPr>
          <w:ilvl w:val="1"/>
          <w:numId w:val="2"/>
        </w:numPr>
        <w:spacing w:line="252" w:lineRule="auto"/>
        <w:ind w:hanging="357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申請表乙份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如附檔：</w:t>
      </w:r>
      <w:r>
        <w:rPr>
          <w:rFonts w:ascii="微軟正黑體" w:eastAsia="微軟正黑體" w:hAnsi="微軟正黑體" w:cs="微軟正黑體"/>
        </w:rPr>
        <w:t xml:space="preserve">2025 </w:t>
      </w:r>
      <w:r>
        <w:rPr>
          <w:rFonts w:ascii="微軟正黑體" w:eastAsia="微軟正黑體" w:hAnsi="微軟正黑體" w:cs="微軟正黑體"/>
        </w:rPr>
        <w:t>老人學領域</w:t>
      </w:r>
      <w:proofErr w:type="gramStart"/>
      <w:r>
        <w:rPr>
          <w:rFonts w:ascii="微軟正黑體" w:eastAsia="微軟正黑體" w:hAnsi="微軟正黑體" w:cs="微軟正黑體"/>
        </w:rPr>
        <w:t>碩</w:t>
      </w:r>
      <w:proofErr w:type="gramEnd"/>
      <w:r>
        <w:rPr>
          <w:rFonts w:ascii="微軟正黑體" w:eastAsia="微軟正黑體" w:hAnsi="微軟正黑體" w:cs="微軟正黑體"/>
        </w:rPr>
        <w:t>博士論文獎申請表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。</w:t>
      </w:r>
    </w:p>
    <w:p w14:paraId="0000001F" w14:textId="77777777" w:rsidR="00B22157" w:rsidRDefault="00CC6ACC">
      <w:pPr>
        <w:numPr>
          <w:ilvl w:val="1"/>
          <w:numId w:val="2"/>
        </w:numPr>
        <w:spacing w:line="252" w:lineRule="auto"/>
        <w:ind w:hanging="357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論文全文</w:t>
      </w:r>
      <w:r>
        <w:rPr>
          <w:rFonts w:ascii="微軟正黑體" w:eastAsia="微軟正黑體" w:hAnsi="微軟正黑體" w:cs="微軟正黑體"/>
          <w:sz w:val="28"/>
          <w:szCs w:val="28"/>
        </w:rPr>
        <w:t>PDF</w:t>
      </w:r>
      <w:r>
        <w:rPr>
          <w:rFonts w:ascii="微軟正黑體" w:eastAsia="微軟正黑體" w:hAnsi="微軟正黑體" w:cs="微軟正黑體"/>
          <w:sz w:val="28"/>
          <w:szCs w:val="28"/>
        </w:rPr>
        <w:t>電子檔。</w:t>
      </w:r>
    </w:p>
    <w:p w14:paraId="00000020" w14:textId="77777777" w:rsidR="00B22157" w:rsidRDefault="00CC6ACC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申請截止日期：</w:t>
      </w:r>
      <w:sdt>
        <w:sdtPr>
          <w:tag w:val="goog_rdk_0"/>
          <w:id w:val="-1054000924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>2025</w:t>
          </w:r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>年</w:t>
          </w:r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 xml:space="preserve"> 3 </w:t>
          </w:r>
        </w:sdtContent>
      </w:sdt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月</w:t>
      </w:r>
      <w:r>
        <w:rPr>
          <w:rFonts w:ascii="Arimo" w:eastAsia="Arimo" w:hAnsi="Arimo" w:cs="Arimo"/>
          <w:color w:val="FF0000"/>
          <w:sz w:val="28"/>
          <w:szCs w:val="28"/>
        </w:rPr>
        <w:t>20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日</w:t>
      </w:r>
      <w:r>
        <w:rPr>
          <w:rFonts w:ascii="微軟正黑體" w:eastAsia="微軟正黑體" w:hAnsi="微軟正黑體" w:cs="微軟正黑體"/>
          <w:sz w:val="28"/>
          <w:szCs w:val="28"/>
        </w:rPr>
        <w:t>。</w:t>
      </w:r>
    </w:p>
    <w:p w14:paraId="00000021" w14:textId="77777777" w:rsidR="00B22157" w:rsidRDefault="00CC6ACC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獲獎通知：</w:t>
      </w:r>
      <w:sdt>
        <w:sdtPr>
          <w:tag w:val="goog_rdk_1"/>
          <w:id w:val="-725616110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>2025</w:t>
          </w:r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>年</w:t>
          </w:r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 xml:space="preserve"> 4</w:t>
          </w:r>
        </w:sdtContent>
      </w:sdt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月</w:t>
      </w:r>
      <w:r>
        <w:rPr>
          <w:rFonts w:ascii="Arimo" w:eastAsia="Arimo" w:hAnsi="Arimo" w:cs="Arimo"/>
          <w:color w:val="FF0000"/>
          <w:sz w:val="28"/>
          <w:szCs w:val="28"/>
        </w:rPr>
        <w:t xml:space="preserve">10 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日</w:t>
      </w:r>
      <w:r>
        <w:rPr>
          <w:rFonts w:ascii="微軟正黑體" w:eastAsia="微軟正黑體" w:hAnsi="微軟正黑體" w:cs="微軟正黑體"/>
          <w:sz w:val="28"/>
          <w:szCs w:val="28"/>
        </w:rPr>
        <w:t>。</w:t>
      </w:r>
    </w:p>
    <w:p w14:paraId="00000022" w14:textId="77777777" w:rsidR="00B22157" w:rsidRDefault="00CC6ACC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詳細說明請見臺灣老人學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學會官網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。</w:t>
      </w:r>
    </w:p>
    <w:sectPr w:rsidR="00B22157">
      <w:pgSz w:w="11906" w:h="16838"/>
      <w:pgMar w:top="1135" w:right="1274" w:bottom="1440" w:left="127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44BBB"/>
    <w:multiLevelType w:val="multilevel"/>
    <w:tmpl w:val="F3E2D34C"/>
    <w:lvl w:ilvl="0">
      <w:start w:val="1"/>
      <w:numFmt w:val="decimal"/>
      <w:pStyle w:val="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4B4CDD"/>
    <w:multiLevelType w:val="multilevel"/>
    <w:tmpl w:val="F4202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DB0333"/>
    <w:multiLevelType w:val="multilevel"/>
    <w:tmpl w:val="C9F0A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57"/>
    <w:rsid w:val="00B22157"/>
    <w:rsid w:val="00C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7FAC3-47D1-4F23-9B1B-192C8A1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4FCD"/>
  </w:style>
  <w:style w:type="paragraph" w:styleId="1">
    <w:name w:val="heading 1"/>
    <w:basedOn w:val="a0"/>
    <w:next w:val="a0"/>
    <w:link w:val="10"/>
    <w:uiPriority w:val="9"/>
    <w:qFormat/>
    <w:rsid w:val="00F8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84FC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4FC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84F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84FC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84FC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84FC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84FC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F84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name w:val="系務會議提案"/>
    <w:basedOn w:val="a0"/>
    <w:qFormat/>
    <w:rsid w:val="00797675"/>
    <w:pPr>
      <w:snapToGrid w:val="0"/>
      <w:ind w:left="1276" w:hanging="996"/>
    </w:pPr>
    <w:rPr>
      <w:rFonts w:ascii="Times New Roman" w:eastAsia="標楷體" w:hAnsi="Times New Roman" w:cs="Times New Roman"/>
    </w:rPr>
  </w:style>
  <w:style w:type="paragraph" w:customStyle="1" w:styleId="a7">
    <w:name w:val="樣式 系務會議提案 + 底線"/>
    <w:basedOn w:val="a6"/>
    <w:rsid w:val="00797675"/>
    <w:pPr>
      <w:ind w:left="0" w:firstLine="0"/>
    </w:pPr>
  </w:style>
  <w:style w:type="paragraph" w:customStyle="1" w:styleId="a">
    <w:name w:val="樣式 系務會議提案"/>
    <w:basedOn w:val="a6"/>
    <w:rsid w:val="00797675"/>
    <w:pPr>
      <w:numPr>
        <w:numId w:val="2"/>
      </w:numPr>
    </w:pPr>
  </w:style>
  <w:style w:type="character" w:customStyle="1" w:styleId="10">
    <w:name w:val="標題 1 字元"/>
    <w:basedOn w:val="a1"/>
    <w:link w:val="1"/>
    <w:uiPriority w:val="9"/>
    <w:rsid w:val="00F8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1"/>
    <w:link w:val="2"/>
    <w:uiPriority w:val="9"/>
    <w:semiHidden/>
    <w:rsid w:val="00F8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F84FC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F84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F84FC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F84F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F84F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F84F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F84FCD"/>
    <w:rPr>
      <w:rFonts w:eastAsiaTheme="majorEastAsia" w:cstheme="majorBidi"/>
      <w:color w:val="272727" w:themeColor="text1" w:themeTint="D8"/>
    </w:rPr>
  </w:style>
  <w:style w:type="character" w:customStyle="1" w:styleId="a5">
    <w:name w:val="標題 字元"/>
    <w:basedOn w:val="a1"/>
    <w:link w:val="a4"/>
    <w:uiPriority w:val="10"/>
    <w:rsid w:val="00F8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0"/>
    <w:next w:val="a0"/>
    <w:link w:val="a9"/>
    <w:uiPriority w:val="11"/>
    <w:qFormat/>
    <w:pPr>
      <w:spacing w:after="160"/>
      <w:jc w:val="center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a9">
    <w:name w:val="副標題 字元"/>
    <w:basedOn w:val="a1"/>
    <w:link w:val="a8"/>
    <w:uiPriority w:val="11"/>
    <w:rsid w:val="00F8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0"/>
    <w:next w:val="a0"/>
    <w:link w:val="ab"/>
    <w:uiPriority w:val="29"/>
    <w:qFormat/>
    <w:rsid w:val="00F84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文 字元"/>
    <w:basedOn w:val="a1"/>
    <w:link w:val="aa"/>
    <w:uiPriority w:val="29"/>
    <w:rsid w:val="00F84FCD"/>
    <w:rPr>
      <w:i/>
      <w:iCs/>
      <w:color w:val="404040" w:themeColor="text1" w:themeTint="BF"/>
    </w:rPr>
  </w:style>
  <w:style w:type="paragraph" w:styleId="ac">
    <w:name w:val="List Paragraph"/>
    <w:basedOn w:val="a0"/>
    <w:uiPriority w:val="34"/>
    <w:qFormat/>
    <w:rsid w:val="00F84FCD"/>
    <w:pPr>
      <w:ind w:left="720"/>
      <w:contextualSpacing/>
    </w:pPr>
  </w:style>
  <w:style w:type="character" w:styleId="ad">
    <w:name w:val="Intense Emphasis"/>
    <w:basedOn w:val="a1"/>
    <w:uiPriority w:val="21"/>
    <w:qFormat/>
    <w:rsid w:val="00F84FCD"/>
    <w:rPr>
      <w:i/>
      <w:iCs/>
      <w:color w:val="2F5496" w:themeColor="accent1" w:themeShade="BF"/>
    </w:rPr>
  </w:style>
  <w:style w:type="paragraph" w:styleId="ae">
    <w:name w:val="Intense Quote"/>
    <w:basedOn w:val="a0"/>
    <w:next w:val="a0"/>
    <w:link w:val="af"/>
    <w:uiPriority w:val="30"/>
    <w:qFormat/>
    <w:rsid w:val="00F8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鮮明引文 字元"/>
    <w:basedOn w:val="a1"/>
    <w:link w:val="ae"/>
    <w:uiPriority w:val="30"/>
    <w:rsid w:val="00F84FCD"/>
    <w:rPr>
      <w:i/>
      <w:iCs/>
      <w:color w:val="2F5496" w:themeColor="accent1" w:themeShade="BF"/>
    </w:rPr>
  </w:style>
  <w:style w:type="character" w:styleId="af0">
    <w:name w:val="Intense Reference"/>
    <w:basedOn w:val="a1"/>
    <w:uiPriority w:val="32"/>
    <w:qFormat/>
    <w:rsid w:val="00F84FCD"/>
    <w:rPr>
      <w:b/>
      <w:bCs/>
      <w:smallCaps/>
      <w:color w:val="2F5496" w:themeColor="accent1" w:themeShade="BF"/>
      <w:spacing w:val="5"/>
    </w:rPr>
  </w:style>
  <w:style w:type="paragraph" w:styleId="af1">
    <w:name w:val="header"/>
    <w:basedOn w:val="a0"/>
    <w:link w:val="af2"/>
    <w:uiPriority w:val="99"/>
    <w:unhideWhenUsed/>
    <w:rsid w:val="00306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306958"/>
    <w:rPr>
      <w:rFonts w:ascii="Arial" w:hAnsi="Arial" w:cs="Arial"/>
      <w:kern w:val="0"/>
      <w:sz w:val="20"/>
      <w:szCs w:val="20"/>
      <w:lang w:val="zh-TW"/>
    </w:rPr>
  </w:style>
  <w:style w:type="paragraph" w:styleId="af3">
    <w:name w:val="footer"/>
    <w:basedOn w:val="a0"/>
    <w:link w:val="af4"/>
    <w:uiPriority w:val="99"/>
    <w:unhideWhenUsed/>
    <w:rsid w:val="00306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306958"/>
    <w:rPr>
      <w:rFonts w:ascii="Arial" w:hAnsi="Arial" w:cs="Arial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wanage2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/GT4ExdkNTAts8/BGmF6NrxGQ==">CgMxLjAaJAoBMBIfCh0IB0IZCgVBcmltbxIQQXJpYWwgVW5pY29kZSBNUxokCgExEh8KHQgHQhkKBUFyaW1vEhBBcmlhbCBVbmljb2RlIE1TMghoLmdqZGd4czIJaC4zMGowemxsMgloLjFmb2I5dGUyCWguM3pueXNoNzIJaC4yZXQ5MnAwMghoLnR5amN3dDIJaC4zZHk2dmttMgloLjF0M2g1c2YyCWguNGQzNG9nODIJaC4yczhleW8xOAByITFtUVRaVkZFRjN6eGxxMmxEVURCeUJxOTN3Y1R3OF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邱瑜瑩</dc:creator>
  <cp:lastModifiedBy>user</cp:lastModifiedBy>
  <cp:revision>2</cp:revision>
  <dcterms:created xsi:type="dcterms:W3CDTF">2025-03-13T05:31:00Z</dcterms:created>
  <dcterms:modified xsi:type="dcterms:W3CDTF">2025-03-13T05:31:00Z</dcterms:modified>
</cp:coreProperties>
</file>